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07" w:type="dxa"/>
        <w:tblInd w:w="-993" w:type="dxa"/>
        <w:tblLook w:val="04A0" w:firstRow="1" w:lastRow="0" w:firstColumn="1" w:lastColumn="0" w:noHBand="0" w:noVBand="1"/>
      </w:tblPr>
      <w:tblGrid>
        <w:gridCol w:w="590"/>
        <w:gridCol w:w="1383"/>
        <w:gridCol w:w="1714"/>
        <w:gridCol w:w="1842"/>
        <w:gridCol w:w="2552"/>
        <w:gridCol w:w="1897"/>
        <w:gridCol w:w="1482"/>
        <w:gridCol w:w="3719"/>
        <w:gridCol w:w="11"/>
        <w:gridCol w:w="17"/>
      </w:tblGrid>
      <w:tr w:rsidR="00B16C9D" w:rsidRPr="00B16C9D" w:rsidTr="00B16C9D">
        <w:trPr>
          <w:trHeight w:val="375"/>
        </w:trPr>
        <w:tc>
          <w:tcPr>
            <w:tcW w:w="15207" w:type="dxa"/>
            <w:gridSpan w:val="10"/>
            <w:tcBorders>
              <w:top w:val="nil"/>
              <w:left w:val="nil"/>
              <w:bottom w:val="nil"/>
              <w:right w:val="nil"/>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Tổng hợp xử phạt vi phạm hành chính (từ ngày 24/7/2023 đến ngày 28/7/2023)</w:t>
            </w:r>
          </w:p>
        </w:tc>
      </w:tr>
      <w:tr w:rsidR="00B16C9D" w:rsidRPr="00B16C9D" w:rsidTr="00B16C9D">
        <w:trPr>
          <w:gridAfter w:val="1"/>
          <w:wAfter w:w="17" w:type="dxa"/>
          <w:trHeight w:val="375"/>
        </w:trPr>
        <w:tc>
          <w:tcPr>
            <w:tcW w:w="590" w:type="dxa"/>
            <w:tcBorders>
              <w:top w:val="nil"/>
              <w:left w:val="nil"/>
              <w:bottom w:val="nil"/>
              <w:right w:val="nil"/>
            </w:tcBorders>
            <w:shd w:val="clear" w:color="auto" w:fill="auto"/>
            <w:noWrap/>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p>
        </w:tc>
        <w:tc>
          <w:tcPr>
            <w:tcW w:w="1383" w:type="dxa"/>
            <w:tcBorders>
              <w:top w:val="nil"/>
              <w:left w:val="nil"/>
              <w:bottom w:val="nil"/>
              <w:right w:val="nil"/>
            </w:tcBorders>
            <w:shd w:val="clear" w:color="auto" w:fill="auto"/>
            <w:noWrap/>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p>
        </w:tc>
        <w:tc>
          <w:tcPr>
            <w:tcW w:w="1714" w:type="dxa"/>
            <w:tcBorders>
              <w:top w:val="nil"/>
              <w:left w:val="nil"/>
              <w:bottom w:val="nil"/>
              <w:right w:val="nil"/>
            </w:tcBorders>
            <w:shd w:val="clear" w:color="auto" w:fill="auto"/>
            <w:noWrap/>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p>
        </w:tc>
        <w:tc>
          <w:tcPr>
            <w:tcW w:w="1842" w:type="dxa"/>
            <w:tcBorders>
              <w:top w:val="nil"/>
              <w:left w:val="nil"/>
              <w:bottom w:val="nil"/>
              <w:right w:val="nil"/>
            </w:tcBorders>
            <w:shd w:val="clear" w:color="auto" w:fill="auto"/>
            <w:noWrap/>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p>
        </w:tc>
        <w:tc>
          <w:tcPr>
            <w:tcW w:w="2552" w:type="dxa"/>
            <w:tcBorders>
              <w:top w:val="nil"/>
              <w:left w:val="nil"/>
              <w:bottom w:val="nil"/>
              <w:right w:val="nil"/>
            </w:tcBorders>
            <w:shd w:val="clear" w:color="auto" w:fill="auto"/>
            <w:noWrap/>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p>
        </w:tc>
        <w:tc>
          <w:tcPr>
            <w:tcW w:w="1897" w:type="dxa"/>
            <w:tcBorders>
              <w:top w:val="nil"/>
              <w:left w:val="nil"/>
              <w:bottom w:val="nil"/>
              <w:right w:val="nil"/>
            </w:tcBorders>
            <w:shd w:val="clear" w:color="auto" w:fill="auto"/>
            <w:noWrap/>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p>
        </w:tc>
        <w:tc>
          <w:tcPr>
            <w:tcW w:w="1482" w:type="dxa"/>
            <w:tcBorders>
              <w:top w:val="nil"/>
              <w:left w:val="nil"/>
              <w:bottom w:val="nil"/>
              <w:right w:val="nil"/>
            </w:tcBorders>
            <w:shd w:val="clear" w:color="auto" w:fill="auto"/>
            <w:noWrap/>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p>
        </w:tc>
        <w:tc>
          <w:tcPr>
            <w:tcW w:w="3730" w:type="dxa"/>
            <w:gridSpan w:val="2"/>
            <w:tcBorders>
              <w:top w:val="nil"/>
              <w:left w:val="nil"/>
              <w:bottom w:val="nil"/>
              <w:right w:val="nil"/>
            </w:tcBorders>
            <w:shd w:val="clear" w:color="auto" w:fill="auto"/>
            <w:noWrap/>
            <w:vAlign w:val="bottom"/>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p>
        </w:tc>
      </w:tr>
      <w:tr w:rsidR="00B16C9D" w:rsidRPr="00B16C9D" w:rsidTr="00B16C9D">
        <w:trPr>
          <w:gridAfter w:val="1"/>
          <w:wAfter w:w="17" w:type="dxa"/>
          <w:trHeight w:val="112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TT</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sz w:val="24"/>
                <w:szCs w:val="24"/>
              </w:rPr>
            </w:pPr>
            <w:r w:rsidRPr="00B16C9D">
              <w:rPr>
                <w:rFonts w:ascii="Times New Roman" w:eastAsia="Times New Roman" w:hAnsi="Times New Roman" w:cs="Times New Roman"/>
                <w:b/>
                <w:bCs/>
                <w:sz w:val="24"/>
                <w:szCs w:val="24"/>
              </w:rPr>
              <w:t>Số, ngày ra Quyết định XPVPHC</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sz w:val="24"/>
                <w:szCs w:val="24"/>
              </w:rPr>
            </w:pPr>
            <w:r w:rsidRPr="00B16C9D">
              <w:rPr>
                <w:rFonts w:ascii="Times New Roman" w:eastAsia="Times New Roman" w:hAnsi="Times New Roman" w:cs="Times New Roman"/>
                <w:b/>
                <w:bCs/>
                <w:sz w:val="24"/>
                <w:szCs w:val="24"/>
              </w:rPr>
              <w:t>Tên đơn vị, cơ sở</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sz w:val="24"/>
                <w:szCs w:val="24"/>
              </w:rPr>
            </w:pPr>
            <w:r w:rsidRPr="00B16C9D">
              <w:rPr>
                <w:rFonts w:ascii="Times New Roman" w:eastAsia="Times New Roman" w:hAnsi="Times New Roman" w:cs="Times New Roman"/>
                <w:b/>
                <w:bCs/>
                <w:sz w:val="24"/>
                <w:szCs w:val="24"/>
              </w:rPr>
              <w:t xml:space="preserve">Địa chỉ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sz w:val="24"/>
                <w:szCs w:val="24"/>
              </w:rPr>
            </w:pPr>
            <w:r w:rsidRPr="00B16C9D">
              <w:rPr>
                <w:rFonts w:ascii="Times New Roman" w:eastAsia="Times New Roman" w:hAnsi="Times New Roman" w:cs="Times New Roman"/>
                <w:b/>
                <w:bCs/>
                <w:sz w:val="24"/>
                <w:szCs w:val="24"/>
              </w:rPr>
              <w:t>Hành vi vi phạm</w:t>
            </w:r>
          </w:p>
        </w:tc>
        <w:tc>
          <w:tcPr>
            <w:tcW w:w="1897" w:type="dxa"/>
            <w:tcBorders>
              <w:top w:val="single" w:sz="4" w:space="0" w:color="auto"/>
              <w:left w:val="nil"/>
              <w:bottom w:val="single" w:sz="4" w:space="0" w:color="auto"/>
              <w:right w:val="single" w:sz="4" w:space="0" w:color="auto"/>
            </w:tcBorders>
            <w:shd w:val="clear" w:color="auto" w:fill="auto"/>
            <w:noWrap/>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Phạt tiền</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 xml:space="preserve">Hình phạt </w:t>
            </w:r>
            <w:r w:rsidRPr="00B16C9D">
              <w:rPr>
                <w:rFonts w:ascii="Times New Roman" w:eastAsia="Times New Roman" w:hAnsi="Times New Roman" w:cs="Times New Roman"/>
                <w:b/>
                <w:bCs/>
                <w:color w:val="000000"/>
                <w:sz w:val="24"/>
                <w:szCs w:val="24"/>
              </w:rPr>
              <w:br/>
              <w:t>bổ sung</w:t>
            </w:r>
          </w:p>
        </w:tc>
        <w:tc>
          <w:tcPr>
            <w:tcW w:w="3730" w:type="dxa"/>
            <w:gridSpan w:val="2"/>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Biện pháp</w:t>
            </w:r>
            <w:r w:rsidRPr="00B16C9D">
              <w:rPr>
                <w:rFonts w:ascii="Times New Roman" w:eastAsia="Times New Roman" w:hAnsi="Times New Roman" w:cs="Times New Roman"/>
                <w:b/>
                <w:bCs/>
                <w:color w:val="000000"/>
                <w:sz w:val="24"/>
                <w:szCs w:val="24"/>
              </w:rPr>
              <w:br/>
              <w:t>khắc phục hậu quả</w:t>
            </w:r>
          </w:p>
        </w:tc>
      </w:tr>
      <w:tr w:rsidR="00B16C9D" w:rsidRPr="00B16C9D" w:rsidTr="00B16C9D">
        <w:trPr>
          <w:gridAfter w:val="1"/>
          <w:wAfter w:w="17" w:type="dxa"/>
          <w:trHeight w:val="150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1</w:t>
            </w:r>
          </w:p>
        </w:tc>
        <w:tc>
          <w:tcPr>
            <w:tcW w:w="1383"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410/QĐ-XPVPHC ngày 19/7/2023</w:t>
            </w:r>
          </w:p>
        </w:tc>
        <w:tc>
          <w:tcPr>
            <w:tcW w:w="1714"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Nhà thuốc Hồng Vân - Chợ Dầu</w:t>
            </w:r>
          </w:p>
        </w:tc>
        <w:tc>
          <w:tcPr>
            <w:tcW w:w="1842"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Chợ Dầu, Ngoại Đô, Đội Bình, Ứng Hòa, Hà Nội</w:t>
            </w:r>
          </w:p>
        </w:tc>
        <w:tc>
          <w:tcPr>
            <w:tcW w:w="2552" w:type="dxa"/>
            <w:tcBorders>
              <w:top w:val="nil"/>
              <w:left w:val="nil"/>
              <w:bottom w:val="single" w:sz="4" w:space="0" w:color="auto"/>
              <w:right w:val="single" w:sz="4" w:space="0" w:color="auto"/>
            </w:tcBorders>
            <w:shd w:val="clear" w:color="000000" w:fill="FFFFFF"/>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Không báo cáo Sở Y tế Hà Nội trong trường hợp tạm dừng hoạt động từ 06 tháng trở lên hoặc chấm dứt hoạt động</w:t>
            </w:r>
          </w:p>
        </w:tc>
        <w:tc>
          <w:tcPr>
            <w:tcW w:w="1897"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2,000,000</w:t>
            </w:r>
          </w:p>
        </w:tc>
        <w:tc>
          <w:tcPr>
            <w:tcW w:w="1482"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Không</w:t>
            </w:r>
          </w:p>
        </w:tc>
        <w:tc>
          <w:tcPr>
            <w:tcW w:w="3730" w:type="dxa"/>
            <w:gridSpan w:val="2"/>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Không</w:t>
            </w:r>
          </w:p>
        </w:tc>
      </w:tr>
      <w:tr w:rsidR="00B16C9D" w:rsidRPr="00B16C9D" w:rsidTr="00B16C9D">
        <w:trPr>
          <w:gridAfter w:val="1"/>
          <w:wAfter w:w="17" w:type="dxa"/>
          <w:trHeight w:val="150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2</w:t>
            </w:r>
          </w:p>
        </w:tc>
        <w:tc>
          <w:tcPr>
            <w:tcW w:w="1383"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411/QĐ-XPVPHC ngày 19/7/2023</w:t>
            </w:r>
          </w:p>
        </w:tc>
        <w:tc>
          <w:tcPr>
            <w:tcW w:w="1714"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Nhà thuốc Anh Khôi 143</w:t>
            </w:r>
          </w:p>
        </w:tc>
        <w:tc>
          <w:tcPr>
            <w:tcW w:w="1842"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Số 8 ngách 91/6 ngõ 91 Cầu Diễn, Phúc Diễn, Bắc Từ Liêm, Hà Nội</w:t>
            </w:r>
          </w:p>
        </w:tc>
        <w:tc>
          <w:tcPr>
            <w:tcW w:w="2552" w:type="dxa"/>
            <w:tcBorders>
              <w:top w:val="nil"/>
              <w:left w:val="nil"/>
              <w:bottom w:val="single" w:sz="4" w:space="0" w:color="auto"/>
              <w:right w:val="single" w:sz="4" w:space="0" w:color="auto"/>
            </w:tcBorders>
            <w:shd w:val="clear" w:color="000000" w:fill="FFFFFF"/>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Không báo cáo Sở Y tế Hà Nội trong trường hợp tạm dừng hoạt động từ 06 tháng trở lên hoặc chấm dứt hoạt động</w:t>
            </w:r>
          </w:p>
        </w:tc>
        <w:tc>
          <w:tcPr>
            <w:tcW w:w="1897"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2,000,000</w:t>
            </w:r>
          </w:p>
        </w:tc>
        <w:tc>
          <w:tcPr>
            <w:tcW w:w="1482"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Không</w:t>
            </w:r>
          </w:p>
        </w:tc>
        <w:tc>
          <w:tcPr>
            <w:tcW w:w="3730" w:type="dxa"/>
            <w:gridSpan w:val="2"/>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Không</w:t>
            </w:r>
          </w:p>
        </w:tc>
      </w:tr>
      <w:tr w:rsidR="00B16C9D" w:rsidRPr="00B16C9D" w:rsidTr="00B16C9D">
        <w:trPr>
          <w:gridAfter w:val="1"/>
          <w:wAfter w:w="17" w:type="dxa"/>
          <w:trHeight w:val="150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3</w:t>
            </w:r>
          </w:p>
        </w:tc>
        <w:tc>
          <w:tcPr>
            <w:tcW w:w="1383"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412/QĐ-XPVPHC ngày 19/7/2023</w:t>
            </w:r>
          </w:p>
        </w:tc>
        <w:tc>
          <w:tcPr>
            <w:tcW w:w="1714"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Quầy thuốc Hương Giang 3</w:t>
            </w:r>
          </w:p>
        </w:tc>
        <w:tc>
          <w:tcPr>
            <w:tcW w:w="1842"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Thôn Tri Lễ, Tân Ước, Thanh Oai, Hà Nội</w:t>
            </w:r>
          </w:p>
        </w:tc>
        <w:tc>
          <w:tcPr>
            <w:tcW w:w="2552" w:type="dxa"/>
            <w:tcBorders>
              <w:top w:val="nil"/>
              <w:left w:val="nil"/>
              <w:bottom w:val="single" w:sz="4" w:space="0" w:color="auto"/>
              <w:right w:val="single" w:sz="4" w:space="0" w:color="auto"/>
            </w:tcBorders>
            <w:shd w:val="clear" w:color="000000" w:fill="FFFFFF"/>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Không báo cáo Sở Y tế Hà Nội trong trường hợp tạm dừng hoạt động từ 06 tháng trở lên hoặc chấm dứt hoạt động</w:t>
            </w:r>
          </w:p>
        </w:tc>
        <w:tc>
          <w:tcPr>
            <w:tcW w:w="1897"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2,000,000</w:t>
            </w:r>
          </w:p>
        </w:tc>
        <w:tc>
          <w:tcPr>
            <w:tcW w:w="1482"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Không</w:t>
            </w:r>
          </w:p>
        </w:tc>
        <w:tc>
          <w:tcPr>
            <w:tcW w:w="3730" w:type="dxa"/>
            <w:gridSpan w:val="2"/>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Không</w:t>
            </w:r>
          </w:p>
        </w:tc>
      </w:tr>
      <w:tr w:rsidR="00B16C9D" w:rsidRPr="00B16C9D" w:rsidTr="00B16C9D">
        <w:trPr>
          <w:gridAfter w:val="1"/>
          <w:wAfter w:w="17" w:type="dxa"/>
          <w:trHeight w:val="150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4</w:t>
            </w:r>
          </w:p>
        </w:tc>
        <w:tc>
          <w:tcPr>
            <w:tcW w:w="1383"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413/QĐ-XPVPHC ngày 19/7/2023</w:t>
            </w:r>
          </w:p>
        </w:tc>
        <w:tc>
          <w:tcPr>
            <w:tcW w:w="1714"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Công ty TNHH Y tế GoMed</w:t>
            </w:r>
          </w:p>
        </w:tc>
        <w:tc>
          <w:tcPr>
            <w:tcW w:w="1842"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P 212, Tòa A, số 352 Giải Phóng, Hà Nội</w:t>
            </w:r>
          </w:p>
        </w:tc>
        <w:tc>
          <w:tcPr>
            <w:tcW w:w="2552" w:type="dxa"/>
            <w:tcBorders>
              <w:top w:val="nil"/>
              <w:left w:val="nil"/>
              <w:bottom w:val="single" w:sz="4" w:space="0" w:color="auto"/>
              <w:right w:val="single" w:sz="4" w:space="0" w:color="auto"/>
            </w:tcBorders>
            <w:shd w:val="clear" w:color="000000" w:fill="FFFFFF"/>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Không báo cáo Sở Y tế Hà Nội trong trường hợp tạm dừng hoạt động từ 06 tháng trở lên hoặc chấm dứt hoạt động</w:t>
            </w:r>
          </w:p>
        </w:tc>
        <w:tc>
          <w:tcPr>
            <w:tcW w:w="1897"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4,000,000</w:t>
            </w:r>
          </w:p>
        </w:tc>
        <w:tc>
          <w:tcPr>
            <w:tcW w:w="1482"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Không</w:t>
            </w:r>
          </w:p>
        </w:tc>
        <w:tc>
          <w:tcPr>
            <w:tcW w:w="3730" w:type="dxa"/>
            <w:gridSpan w:val="2"/>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Không</w:t>
            </w:r>
          </w:p>
        </w:tc>
      </w:tr>
      <w:tr w:rsidR="00B16C9D" w:rsidRPr="00B16C9D" w:rsidTr="00B16C9D">
        <w:trPr>
          <w:gridAfter w:val="1"/>
          <w:wAfter w:w="17" w:type="dxa"/>
          <w:trHeight w:val="150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lastRenderedPageBreak/>
              <w:t>5</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414/QĐ-XPVPHC ngày 19/7/2023</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Nhà thuốc số 182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Số 8, ngách 91/6 ngõ 91 Cầu Diễn, Phúc Diễn, Bắc Từ Liêm</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Không báo cáo Sở Y tế Hà Nội trong trường hợp tạm dừng hoạt động từ 06 tháng trở lên hoặc chấm dứt hoạt động</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2,000,000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Không</w:t>
            </w:r>
          </w:p>
        </w:tc>
        <w:tc>
          <w:tcPr>
            <w:tcW w:w="37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Không</w:t>
            </w:r>
          </w:p>
        </w:tc>
      </w:tr>
      <w:tr w:rsidR="00B16C9D" w:rsidRPr="00B16C9D" w:rsidTr="00B16C9D">
        <w:trPr>
          <w:gridAfter w:val="1"/>
          <w:wAfter w:w="17" w:type="dxa"/>
          <w:trHeight w:val="300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6</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415/QĐ-XPVPHC ngày 27/7/2023</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Công ty cổ phần dược xanh Việt Nam</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Số 68,TT15, KĐT sinh thái Xuân Phương, phường Xuân Phương, quận Nam Từ Liêm, Hà Nội</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 xml:space="preserve">Quảng cáo các sản phẩm, hàng hóa mà không được cơ quan nhà nước có thẩm quyền xác nhận nội dung trước khi thực hiện quảng cáo theo quy định; Kinh doanh không đúng địa điểm ghi trong giấy phép kinh doanh được cấp. </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60,000,000</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Không</w:t>
            </w:r>
          </w:p>
        </w:tc>
        <w:tc>
          <w:tcPr>
            <w:tcW w:w="3730" w:type="dxa"/>
            <w:gridSpan w:val="2"/>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 xml:space="preserve">Buộc tháo gỡ </w:t>
            </w:r>
            <w:r w:rsidRPr="00B16C9D">
              <w:rPr>
                <w:rFonts w:ascii="Times New Roman" w:eastAsia="Times New Roman" w:hAnsi="Times New Roman" w:cs="Times New Roman"/>
                <w:color w:val="000000"/>
                <w:sz w:val="24"/>
                <w:szCs w:val="24"/>
              </w:rPr>
              <w:br/>
              <w:t xml:space="preserve">nội dung quảng cáo </w:t>
            </w:r>
          </w:p>
        </w:tc>
      </w:tr>
      <w:tr w:rsidR="00B16C9D" w:rsidRPr="00B16C9D" w:rsidTr="00B16C9D">
        <w:trPr>
          <w:gridAfter w:val="1"/>
          <w:wAfter w:w="17" w:type="dxa"/>
          <w:trHeight w:val="562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lastRenderedPageBreak/>
              <w:t>7</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416/QĐ-XPVPHC ngày 27/7/2023</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Ông Nguyễn Mạnh Tuân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Thôn Chính, Thụy Chính, huyện Thái Thụy, tỉnh Thái Bình</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 xml:space="preserve">Kinh doanh hàng hóa, dịch vụ thuộc ngành, nghề đầu tư kinh doanh có điều kiện mà không có giấy phép kinh doanh theo quy định ;Mua, bán thuốc không có giấy chứng nhận đủ điều kiện kinh doanh dược; Kinh doanh hàng hóa không rõ nguồn gốc xuất xứ  </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128,100,000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Tịch thu tang vật đối với hành vi vi phạm là thuốc không có hoá đơn chứng từ chứng minh rõ nguồn gốc xuất xứ.</w:t>
            </w:r>
          </w:p>
        </w:tc>
        <w:tc>
          <w:tcPr>
            <w:tcW w:w="37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Buộc tiêu hủy tang vật vi phạm gây hại cho sức khỏe con người đối với hành vi vi phạm là thuốc không có hoá đơn chứng từ chứng minh rõ nguồn gốc xuất xứ.;Buộc nộp lại số tiền bất hợp pháp có được do thực hiện hành vi vi phạm là kinh doanh thuốc không có giấy chứng nhận đăng ký kinh doanh, không có giấy chứng nhận đủ điều kiện kinh doanh dược và kinh doanh thuốc không có hoá đơn chứng từ chứng minh rõ nguồn gốc xuất xứ. Số tiền nộp lại là: 600.000 đồng</w:t>
            </w:r>
          </w:p>
        </w:tc>
      </w:tr>
      <w:tr w:rsidR="00B16C9D" w:rsidRPr="00B16C9D" w:rsidTr="00B16C9D">
        <w:trPr>
          <w:gridAfter w:val="1"/>
          <w:wAfter w:w="17" w:type="dxa"/>
          <w:trHeight w:val="562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lastRenderedPageBreak/>
              <w:t>8</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416a/QĐ-XPVPHC ngày 27/7/2023</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Ông Nguyễn Văn Thuân</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 xml:space="preserve">Số 5/17/15 Trần Thái Tông, Phường Dịch Vọng Hậu, </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 xml:space="preserve">Kinh doanh hàng hóa, dịch vụ thuộc ngành, nghề đầu tư kinh doanh có điều kiện mà không có giấy phép kinh doanh theo quy định ;Mua, bán thuốc không có giấy chứng nhận đủ điều kiện kinh doanh dược; Kinh doanh hàng hóa không rõ nguồn gốc xuất xứ  </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127,800,000</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Tịch thu tang vật đối với hành vi vi phạm là thuốc không có hoá đơn chứng từ chứng minh rõ nguồn gốc xuất xứ.</w:t>
            </w:r>
          </w:p>
        </w:tc>
        <w:tc>
          <w:tcPr>
            <w:tcW w:w="3730" w:type="dxa"/>
            <w:gridSpan w:val="2"/>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Buộc tiêu hủy tang vật vi phạm gây hại cho sức khỏe con người đối với hành vi vi phạm là thuốc không có hoá đơn chứng từ chứng minh rõ nguồn gốc xuất xứ.;Buộc nộp lại số tiền bất hợp pháp có được do thực hiện hành vi vi phạm là kinh doanh thuốc không có giấy chứng nhận đăng ký kinh doanh, không có giấy chứng nhận đủ điều kiện kinh doanh dược và kinh doanh thuốc không có hoá đơn chứng từ chứng minh rõ nguồn gốc xuất xứ. Số tiền nộp lại là: 300.000 đồng</w:t>
            </w:r>
          </w:p>
        </w:tc>
      </w:tr>
      <w:tr w:rsidR="00B16C9D" w:rsidRPr="00B16C9D" w:rsidTr="00B16C9D">
        <w:trPr>
          <w:gridAfter w:val="1"/>
          <w:wAfter w:w="17" w:type="dxa"/>
          <w:trHeight w:val="562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lastRenderedPageBreak/>
              <w:t>9</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417/QĐ-XPVPHC ngày 27/7/2023</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 xml:space="preserve">Bà Nguyễn Thị Năm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Số 9 Trần Bình, phường Mai Dịch, quận Cầu Giấy</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 xml:space="preserve">Kinh doanh hàng hóa, dịch vụ thuộc ngành, nghề đầu tư kinh doanh có điều kiện mà không có giấy phép kinh doanh theo quy định ;Mua, bán thuốc không có giấy chứng nhận đủ điều kiện kinh doanh dược; Kinh doanh hàng hóa không rõ nguồn gốc xuất xứ  </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128,100,000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Tịch thu tang vật đối với hành vi vi phạm là thuốc không có hoá đơn chứng từ chứng minh rõ nguồn gốc xuất xứ.</w:t>
            </w:r>
          </w:p>
        </w:tc>
        <w:tc>
          <w:tcPr>
            <w:tcW w:w="37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Buộc tiêu hủy tang vật vi phạm gây hại cho sức khỏe con người đối với hành vi vi phạm là thuốc không có hoá đơn chứng từ chứng minh rõ nguồn gốc xuất xứ.;Buộc nộp lại số tiền bất hợp pháp có được do thực hiện hành vi vi phạm là kinh doanh thuốc không có giấy chứng nhận đăng ký kinh doanh, không có giấy chứng nhận đủ điều kiện kinh doanh dược và kinh doanh thuốc không có hoá đơn chứng từ chứng minh rõ nguồn gốc xuất xứ. Số tiền nộp lại là: 600.000 đồng</w:t>
            </w:r>
          </w:p>
        </w:tc>
      </w:tr>
      <w:tr w:rsidR="00B16C9D" w:rsidRPr="00B16C9D" w:rsidTr="00B16C9D">
        <w:trPr>
          <w:gridAfter w:val="1"/>
          <w:wAfter w:w="17" w:type="dxa"/>
          <w:trHeight w:val="525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lastRenderedPageBreak/>
              <w:t>10</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418/QĐ-XPVPHC ngày 27/7/2023</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Ông Nguyễn Văn Vũ</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Tầng 02 nhà số 1 ngõ 131 Nguyễn Thị Định, phường Nhân Chính, quận Thanh Xuân, thành phố Hà Nội.</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 xml:space="preserve">Kinh doanh hàng hóa, dịch vụ thuộc ngành, nghề đầu tư kinh doanh có điều kiện mà không có giấy phép kinh doanh theo quy định , Kinh doanh hàng hóa không rõ nguồn gốc xuất xứ  </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48,470,000</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Tịch thu tang vật đối với hành vi vi phạm là thực phẩm không có hoá đơn chứng từ chứng minh rõ nguồn gốc xuất xứ.</w:t>
            </w:r>
          </w:p>
        </w:tc>
        <w:tc>
          <w:tcPr>
            <w:tcW w:w="3730" w:type="dxa"/>
            <w:gridSpan w:val="2"/>
            <w:tcBorders>
              <w:top w:val="single" w:sz="4" w:space="0" w:color="auto"/>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Buộc tiêu hủy tang vật vi phạm gây hại cho sức khỏe con người đối với hành vi vi phạm là thực phẩm không có hoá đơn chứng từ chứng minh rõ nguồn gốc xuất xứ.;Buộc nộp lại số tiền bất hợp pháp có được do thực hiện hành vi vi phạm là kinh doanh thực phẩm không có giấy chứng nhận đăng ký kinh doanh và kinh doanh thực phẩm không có hoá đơn chứng từ chứng minh rõ nguồn gốc xuất xứ. Số tiền nộp lại là: 970.000 đồng</w:t>
            </w:r>
          </w:p>
        </w:tc>
      </w:tr>
      <w:tr w:rsidR="00B16C9D" w:rsidRPr="00B16C9D" w:rsidTr="00B16C9D">
        <w:trPr>
          <w:gridAfter w:val="1"/>
          <w:wAfter w:w="17" w:type="dxa"/>
          <w:trHeight w:val="150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11</w:t>
            </w:r>
          </w:p>
        </w:tc>
        <w:tc>
          <w:tcPr>
            <w:tcW w:w="1383"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419/QĐ-XPVPHC ngày 27/7/2023</w:t>
            </w:r>
          </w:p>
        </w:tc>
        <w:tc>
          <w:tcPr>
            <w:tcW w:w="1714"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 xml:space="preserve">Bệnh viện Tai Mũi Họng Trung ương </w:t>
            </w:r>
          </w:p>
        </w:tc>
        <w:tc>
          <w:tcPr>
            <w:tcW w:w="1842"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78 Giải Phóng, phường Phương Mai, quận Đống Đa, Hà Nội</w:t>
            </w:r>
          </w:p>
        </w:tc>
        <w:tc>
          <w:tcPr>
            <w:tcW w:w="2552" w:type="dxa"/>
            <w:tcBorders>
              <w:top w:val="nil"/>
              <w:left w:val="nil"/>
              <w:bottom w:val="single" w:sz="4" w:space="0" w:color="auto"/>
              <w:right w:val="single" w:sz="4" w:space="0" w:color="auto"/>
            </w:tcBorders>
            <w:shd w:val="clear" w:color="000000" w:fill="FFFFFF"/>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 xml:space="preserve">Để lẫn sản phẩm không phải là thuốc cùng với thuốc </w:t>
            </w:r>
          </w:p>
        </w:tc>
        <w:tc>
          <w:tcPr>
            <w:tcW w:w="1897"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8,000,000</w:t>
            </w:r>
          </w:p>
        </w:tc>
        <w:tc>
          <w:tcPr>
            <w:tcW w:w="1482"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Không</w:t>
            </w:r>
          </w:p>
        </w:tc>
        <w:tc>
          <w:tcPr>
            <w:tcW w:w="3730" w:type="dxa"/>
            <w:gridSpan w:val="2"/>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Không</w:t>
            </w:r>
          </w:p>
        </w:tc>
      </w:tr>
      <w:tr w:rsidR="00B16C9D" w:rsidRPr="00B16C9D" w:rsidTr="00B16C9D">
        <w:trPr>
          <w:gridAfter w:val="1"/>
          <w:wAfter w:w="17" w:type="dxa"/>
          <w:trHeight w:val="112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12</w:t>
            </w:r>
          </w:p>
        </w:tc>
        <w:tc>
          <w:tcPr>
            <w:tcW w:w="1383"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420/QĐ-XPVPHC ngày 27/7/2023</w:t>
            </w:r>
          </w:p>
        </w:tc>
        <w:tc>
          <w:tcPr>
            <w:tcW w:w="1714"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Nhà thuốc Bệnh viện đa khoa huyện Gia Lâm</w:t>
            </w:r>
          </w:p>
        </w:tc>
        <w:tc>
          <w:tcPr>
            <w:tcW w:w="1842"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Khu đô thị mơi Trâu Quỳ, huyện Gia Lâm, Hà Nội</w:t>
            </w:r>
          </w:p>
        </w:tc>
        <w:tc>
          <w:tcPr>
            <w:tcW w:w="2552" w:type="dxa"/>
            <w:tcBorders>
              <w:top w:val="nil"/>
              <w:left w:val="nil"/>
              <w:bottom w:val="single" w:sz="4" w:space="0" w:color="auto"/>
              <w:right w:val="single" w:sz="4" w:space="0" w:color="auto"/>
            </w:tcBorders>
            <w:shd w:val="clear" w:color="000000" w:fill="FFFFFF"/>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 xml:space="preserve">Để lẫn sản phẩm không phải là thuốc cùng với thuốc </w:t>
            </w:r>
          </w:p>
        </w:tc>
        <w:tc>
          <w:tcPr>
            <w:tcW w:w="1897"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4,000,000</w:t>
            </w:r>
          </w:p>
        </w:tc>
        <w:tc>
          <w:tcPr>
            <w:tcW w:w="1482"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Không</w:t>
            </w:r>
          </w:p>
        </w:tc>
        <w:tc>
          <w:tcPr>
            <w:tcW w:w="3730" w:type="dxa"/>
            <w:gridSpan w:val="2"/>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Không</w:t>
            </w:r>
          </w:p>
        </w:tc>
      </w:tr>
      <w:tr w:rsidR="00B16C9D" w:rsidRPr="00B16C9D" w:rsidTr="00B16C9D">
        <w:trPr>
          <w:gridAfter w:val="1"/>
          <w:wAfter w:w="17" w:type="dxa"/>
          <w:trHeight w:val="412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bookmarkStart w:id="0" w:name="_GoBack"/>
            <w:r w:rsidRPr="00B16C9D">
              <w:rPr>
                <w:rFonts w:ascii="Times New Roman" w:eastAsia="Times New Roman" w:hAnsi="Times New Roman" w:cs="Times New Roman"/>
                <w:b/>
                <w:bCs/>
                <w:color w:val="000000"/>
                <w:sz w:val="24"/>
                <w:szCs w:val="24"/>
              </w:rPr>
              <w:lastRenderedPageBreak/>
              <w:t>13</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421/QĐ-XPVPHC ngày 27/7/2023</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Quầy thuốc số 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 xml:space="preserve">Thôn sen, xã Hữu Bằng, huyện Thạch Thất, Hà Nội </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6C9D" w:rsidRPr="00B16C9D" w:rsidRDefault="00B16C9D" w:rsidP="00B16C9D">
            <w:pPr>
              <w:spacing w:after="0" w:line="240" w:lineRule="auto"/>
              <w:jc w:val="center"/>
              <w:rPr>
                <w:rFonts w:ascii="Times New Roman" w:eastAsia="Times New Roman" w:hAnsi="Times New Roman" w:cs="Times New Roman"/>
                <w:sz w:val="24"/>
                <w:szCs w:val="24"/>
              </w:rPr>
            </w:pPr>
            <w:r w:rsidRPr="00B16C9D">
              <w:rPr>
                <w:rFonts w:ascii="Times New Roman" w:eastAsia="Times New Roman" w:hAnsi="Times New Roman" w:cs="Times New Roman"/>
                <w:sz w:val="24"/>
                <w:szCs w:val="24"/>
              </w:rPr>
              <w:t xml:space="preserve"> Không mở sổ hoặc không sử dụng máy tính để quản lý nhập, xuất, tồn trữ, theo dõi số lô, hạn dùng, nguồn gốc của thuốc và thông tin liên quan khác theo quy định;Không niêm yết công khai chứng chỉ hành nghề dược đối với trường hợp phải có chứng chỉ hành nghề dược hoặc giấy chứng nhận đủ điều kiện kinh doanh dược tại cơ sở;</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9,500,000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Không</w:t>
            </w:r>
          </w:p>
        </w:tc>
        <w:tc>
          <w:tcPr>
            <w:tcW w:w="37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color w:val="000000"/>
                <w:sz w:val="24"/>
                <w:szCs w:val="24"/>
              </w:rPr>
            </w:pPr>
            <w:r w:rsidRPr="00B16C9D">
              <w:rPr>
                <w:rFonts w:ascii="Times New Roman" w:eastAsia="Times New Roman" w:hAnsi="Times New Roman" w:cs="Times New Roman"/>
                <w:color w:val="000000"/>
                <w:sz w:val="24"/>
                <w:szCs w:val="24"/>
              </w:rPr>
              <w:t>Không</w:t>
            </w:r>
          </w:p>
        </w:tc>
      </w:tr>
      <w:bookmarkEnd w:id="0"/>
      <w:tr w:rsidR="00B16C9D" w:rsidRPr="00B16C9D" w:rsidTr="00B16C9D">
        <w:trPr>
          <w:gridAfter w:val="2"/>
          <w:wAfter w:w="28" w:type="dxa"/>
          <w:trHeight w:val="375"/>
        </w:trPr>
        <w:tc>
          <w:tcPr>
            <w:tcW w:w="808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sz w:val="24"/>
                <w:szCs w:val="24"/>
              </w:rPr>
            </w:pPr>
            <w:r w:rsidRPr="00B16C9D">
              <w:rPr>
                <w:rFonts w:ascii="Times New Roman" w:eastAsia="Times New Roman" w:hAnsi="Times New Roman" w:cs="Times New Roman"/>
                <w:b/>
                <w:bCs/>
                <w:sz w:val="24"/>
                <w:szCs w:val="24"/>
              </w:rPr>
              <w:t>Tổng</w:t>
            </w:r>
          </w:p>
        </w:tc>
        <w:tc>
          <w:tcPr>
            <w:tcW w:w="1897" w:type="dxa"/>
            <w:tcBorders>
              <w:top w:val="nil"/>
              <w:left w:val="nil"/>
              <w:bottom w:val="single" w:sz="4" w:space="0" w:color="auto"/>
              <w:right w:val="single" w:sz="4" w:space="0" w:color="auto"/>
            </w:tcBorders>
            <w:shd w:val="clear" w:color="auto" w:fill="auto"/>
            <w:vAlign w:val="center"/>
            <w:hideMark/>
          </w:tcPr>
          <w:p w:rsidR="00B16C9D" w:rsidRPr="00B16C9D" w:rsidRDefault="00B16C9D" w:rsidP="00B16C9D">
            <w:pPr>
              <w:spacing w:after="0" w:line="240" w:lineRule="auto"/>
              <w:jc w:val="center"/>
              <w:rPr>
                <w:rFonts w:ascii="Times New Roman" w:eastAsia="Times New Roman" w:hAnsi="Times New Roman" w:cs="Times New Roman"/>
                <w:b/>
                <w:bCs/>
                <w:sz w:val="24"/>
                <w:szCs w:val="24"/>
              </w:rPr>
            </w:pPr>
            <w:r w:rsidRPr="00B16C9D">
              <w:rPr>
                <w:rFonts w:ascii="Times New Roman" w:eastAsia="Times New Roman" w:hAnsi="Times New Roman" w:cs="Times New Roman"/>
                <w:b/>
                <w:bCs/>
                <w:sz w:val="24"/>
                <w:szCs w:val="24"/>
              </w:rPr>
              <w:t>269,770,000</w:t>
            </w:r>
          </w:p>
        </w:tc>
        <w:tc>
          <w:tcPr>
            <w:tcW w:w="5201"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C9D" w:rsidRPr="00B16C9D" w:rsidRDefault="00B16C9D" w:rsidP="00B16C9D">
            <w:pPr>
              <w:spacing w:after="0" w:line="240" w:lineRule="auto"/>
              <w:jc w:val="center"/>
              <w:rPr>
                <w:rFonts w:ascii="Times New Roman" w:eastAsia="Times New Roman" w:hAnsi="Times New Roman" w:cs="Times New Roman"/>
                <w:b/>
                <w:bCs/>
                <w:color w:val="000000"/>
                <w:sz w:val="24"/>
                <w:szCs w:val="24"/>
              </w:rPr>
            </w:pPr>
            <w:r w:rsidRPr="00B16C9D">
              <w:rPr>
                <w:rFonts w:ascii="Times New Roman" w:eastAsia="Times New Roman" w:hAnsi="Times New Roman" w:cs="Times New Roman"/>
                <w:b/>
                <w:bCs/>
                <w:color w:val="000000"/>
                <w:sz w:val="24"/>
                <w:szCs w:val="24"/>
              </w:rPr>
              <w:t> </w:t>
            </w:r>
          </w:p>
        </w:tc>
      </w:tr>
    </w:tbl>
    <w:p w:rsidR="00700D16" w:rsidRPr="00B16C9D" w:rsidRDefault="00700D16">
      <w:pPr>
        <w:rPr>
          <w:sz w:val="24"/>
          <w:szCs w:val="24"/>
        </w:rPr>
      </w:pPr>
    </w:p>
    <w:sectPr w:rsidR="00700D16" w:rsidRPr="00B16C9D" w:rsidSect="00B16C9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9D"/>
    <w:rsid w:val="00700D16"/>
    <w:rsid w:val="00B1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CF2F3-5CCD-4696-A786-449964A9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64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2023-08-08T03:52:00Z</dcterms:created>
  <dcterms:modified xsi:type="dcterms:W3CDTF">2023-08-08T03:54:00Z</dcterms:modified>
</cp:coreProperties>
</file>